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rPr>
          <w:b w:val="1"/>
          <w:bCs w:val="1"/>
        </w:rPr>
      </w:pPr>
      <w:r>
        <w:rPr>
          <w:b w:val="1"/>
          <w:bCs w:val="1"/>
        </w:rPr>
        <w:tab/>
        <w:tab/>
        <w:tab/>
      </w: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r>
        <w:rPr>
          <w:rFonts w:ascii="Times New Roman" w:hAnsi="Times New Roman"/>
          <w:b w:val="1"/>
          <w:bCs w:val="1"/>
        </w:rPr>
        <w:drawing>
          <wp:anchor distT="152400" distB="152400" distL="152400" distR="152400" simplePos="0" relativeHeight="251659264" behindDoc="0" locked="0" layoutInCell="1" allowOverlap="1">
            <wp:simplePos x="0" y="0"/>
            <wp:positionH relativeFrom="page">
              <wp:posOffset>1136651</wp:posOffset>
            </wp:positionH>
            <wp:positionV relativeFrom="page">
              <wp:posOffset>660400</wp:posOffset>
            </wp:positionV>
            <wp:extent cx="1752797" cy="1218338"/>
            <wp:effectExtent l="0" t="0" r="0" b="0"/>
            <wp:wrapThrough wrapText="bothSides" distL="152400" distR="152400">
              <wp:wrapPolygon edited="1">
                <wp:start x="0" y="0"/>
                <wp:lineTo x="21600" y="0"/>
                <wp:lineTo x="21600" y="21600"/>
                <wp:lineTo x="0" y="21600"/>
                <wp:lineTo x="0" y="0"/>
              </wp:wrapPolygon>
            </wp:wrapThrough>
            <wp:docPr id="1073741825" name="officeArt object" descr="LSP Logo.jpg"/>
            <wp:cNvGraphicFramePr/>
            <a:graphic xmlns:a="http://schemas.openxmlformats.org/drawingml/2006/main">
              <a:graphicData uri="http://schemas.openxmlformats.org/drawingml/2006/picture">
                <pic:pic xmlns:pic="http://schemas.openxmlformats.org/drawingml/2006/picture">
                  <pic:nvPicPr>
                    <pic:cNvPr id="1073741825" name="LSP Logo.jpg" descr="LSP Logo.jpg"/>
                    <pic:cNvPicPr>
                      <a:picLocks noChangeAspect="1"/>
                    </pic:cNvPicPr>
                  </pic:nvPicPr>
                  <pic:blipFill>
                    <a:blip r:embed="rId4">
                      <a:extLst/>
                    </a:blip>
                    <a:stretch>
                      <a:fillRect/>
                    </a:stretch>
                  </pic:blipFill>
                  <pic:spPr>
                    <a:xfrm>
                      <a:off x="0" y="0"/>
                      <a:ext cx="1752797" cy="1218338"/>
                    </a:xfrm>
                    <a:prstGeom prst="rect">
                      <a:avLst/>
                    </a:prstGeom>
                    <a:ln w="12700" cap="flat">
                      <a:noFill/>
                      <a:miter lim="400000"/>
                    </a:ln>
                    <a:effectLst/>
                  </pic:spPr>
                </pic:pic>
              </a:graphicData>
            </a:graphic>
          </wp:anchor>
        </w:drawing>
      </w:r>
    </w:p>
    <w:p>
      <w:pPr>
        <w:pStyle w:val="Body A"/>
      </w:pPr>
    </w:p>
    <w:p>
      <w:pPr>
        <w:pStyle w:val="Body A"/>
      </w:pPr>
      <w:r>
        <w:tab/>
        <w:tab/>
        <w:tab/>
      </w:r>
      <w:r>
        <w:rPr>
          <w:sz w:val="28"/>
          <w:szCs w:val="28"/>
          <w:rtl w:val="0"/>
          <w:lang w:val="en-US"/>
        </w:rPr>
        <w:t>Academic Year</w:t>
        <w:tab/>
        <w:t>2018-19</w:t>
      </w:r>
    </w:p>
    <w:p>
      <w:pPr>
        <w:pStyle w:val="Body A"/>
      </w:pPr>
    </w:p>
    <w:p>
      <w:pPr>
        <w:pStyle w:val="Body A"/>
      </w:pPr>
    </w:p>
    <w:p>
      <w:pPr>
        <w:pStyle w:val="Body A"/>
      </w:pPr>
    </w:p>
    <w:p>
      <w:pPr>
        <w:pStyle w:val="Body A"/>
        <w:rPr>
          <w:b w:val="1"/>
          <w:bCs w:val="1"/>
          <w:sz w:val="28"/>
          <w:szCs w:val="28"/>
        </w:rPr>
      </w:pPr>
      <w:r>
        <w:rPr>
          <w:sz w:val="28"/>
          <w:szCs w:val="28"/>
        </w:rPr>
        <w:tab/>
        <w:tab/>
        <w:tab/>
      </w:r>
      <w:r>
        <w:rPr>
          <w:b w:val="1"/>
          <w:bCs w:val="1"/>
          <w:sz w:val="28"/>
          <w:szCs w:val="28"/>
          <w:rtl w:val="0"/>
          <w:lang w:val="en-US"/>
        </w:rPr>
        <w:t xml:space="preserve">Introduction to Philosophy: </w:t>
      </w:r>
    </w:p>
    <w:p>
      <w:pPr>
        <w:pStyle w:val="Body A"/>
        <w:rPr>
          <w:sz w:val="28"/>
          <w:szCs w:val="28"/>
        </w:rPr>
      </w:pPr>
      <w:r>
        <w:rPr>
          <w:b w:val="1"/>
          <w:bCs w:val="1"/>
          <w:sz w:val="28"/>
          <w:szCs w:val="28"/>
          <w:rtl w:val="0"/>
          <w:lang w:val="en-US"/>
        </w:rPr>
        <w:tab/>
        <w:tab/>
        <w:tab/>
        <w:t>Meaning, Morality, and Art</w:t>
      </w:r>
    </w:p>
    <w:p>
      <w:pPr>
        <w:pStyle w:val="Body A"/>
      </w:pPr>
    </w:p>
    <w:p>
      <w:pPr>
        <w:pStyle w:val="Body A"/>
      </w:pPr>
    </w:p>
    <w:p>
      <w:pPr>
        <w:pStyle w:val="Body A"/>
      </w:pPr>
    </w:p>
    <w:p>
      <w:pPr>
        <w:pStyle w:val="Body A"/>
      </w:pPr>
      <w:r>
        <w:rPr>
          <w:rtl w:val="0"/>
          <w:lang w:val="en-US"/>
        </w:rPr>
        <w:t>Venue</w:t>
        <w:tab/>
        <w:tab/>
        <w:tab/>
        <w:t>Conway Hall, Red Lion Square</w:t>
      </w:r>
    </w:p>
    <w:p>
      <w:pPr>
        <w:pStyle w:val="Body A"/>
      </w:pPr>
    </w:p>
    <w:p>
      <w:pPr>
        <w:pStyle w:val="Body A"/>
      </w:pPr>
      <w:r>
        <w:rPr>
          <w:rtl w:val="0"/>
          <w:lang w:val="en-US"/>
        </w:rPr>
        <w:t>Day and Time</w:t>
        <w:tab/>
        <w:t>Monday 5pm to 7pm</w:t>
      </w:r>
    </w:p>
    <w:p>
      <w:pPr>
        <w:pStyle w:val="Body A"/>
      </w:pPr>
    </w:p>
    <w:p>
      <w:pPr>
        <w:pStyle w:val="Body A"/>
      </w:pPr>
      <w:r>
        <w:rPr>
          <w:rtl w:val="0"/>
          <w:lang w:val="en-US"/>
        </w:rPr>
        <w:t>Term Dates</w:t>
        <w:tab/>
        <w:tab/>
        <w:t>14th January - 19th March 201</w:t>
      </w:r>
      <w:r>
        <w:rPr>
          <w:rtl w:val="0"/>
          <w:lang w:val="en-US"/>
        </w:rPr>
        <w:t>9</w:t>
      </w:r>
    </w:p>
    <w:p>
      <w:pPr>
        <w:pStyle w:val="Body A"/>
      </w:pPr>
      <w:r>
        <w:tab/>
        <w:tab/>
        <w:tab/>
      </w:r>
    </w:p>
    <w:p>
      <w:pPr>
        <w:pStyle w:val="Body A"/>
      </w:pPr>
    </w:p>
    <w:p>
      <w:pPr>
        <w:pStyle w:val="Body A"/>
      </w:pPr>
      <w:r>
        <w:rPr>
          <w:rtl w:val="0"/>
          <w:lang w:val="en-US"/>
        </w:rPr>
        <w:t>No. of Meetings</w:t>
        <w:tab/>
        <w:t>10</w:t>
      </w:r>
    </w:p>
    <w:p>
      <w:pPr>
        <w:pStyle w:val="Body A"/>
      </w:pPr>
    </w:p>
    <w:p>
      <w:pPr>
        <w:pStyle w:val="Body A"/>
      </w:pPr>
      <w:r>
        <w:rPr>
          <w:rtl w:val="0"/>
          <w:lang w:val="en-US"/>
        </w:rPr>
        <w:t>Module taught by</w:t>
        <w:tab/>
        <w:t>Jane O</w:t>
      </w:r>
      <w:r>
        <w:rPr>
          <w:rtl w:val="0"/>
          <w:lang w:val="en-US"/>
        </w:rPr>
        <w:t>’</w:t>
      </w:r>
      <w:r>
        <w:rPr>
          <w:rtl w:val="0"/>
          <w:lang w:val="en-US"/>
        </w:rPr>
        <w:t>Grady, Mark Fielding</w:t>
      </w:r>
    </w:p>
    <w:p>
      <w:pPr>
        <w:pStyle w:val="Body A"/>
      </w:pPr>
    </w:p>
    <w:p>
      <w:pPr>
        <w:pStyle w:val="Body A"/>
      </w:pPr>
      <w:r>
        <w:rPr>
          <w:rtl w:val="0"/>
          <w:lang w:val="en-US"/>
        </w:rPr>
        <w:t>Fee</w:t>
        <w:tab/>
        <w:tab/>
        <w:tab/>
      </w:r>
      <w:r>
        <w:rPr>
          <w:rtl w:val="0"/>
          <w:lang w:val="en-US"/>
        </w:rPr>
        <w:t>£</w:t>
      </w:r>
      <w:r>
        <w:rPr>
          <w:rtl w:val="0"/>
          <w:lang w:val="en-US"/>
        </w:rPr>
        <w:t>135 per term</w:t>
      </w:r>
    </w:p>
    <w:p>
      <w:pPr>
        <w:pStyle w:val="Body A"/>
      </w:pPr>
    </w:p>
    <w:p>
      <w:pPr>
        <w:pStyle w:val="Body A"/>
      </w:pPr>
    </w:p>
    <w:p>
      <w:pPr>
        <w:pStyle w:val="Body A"/>
        <w:rPr>
          <w:b w:val="1"/>
          <w:bCs w:val="1"/>
        </w:rPr>
      </w:pPr>
      <w:r>
        <w:rPr>
          <w:b w:val="1"/>
          <w:bCs w:val="1"/>
          <w:rtl w:val="0"/>
          <w:lang w:val="en-US"/>
        </w:rPr>
        <w:t>Entrance Requirements</w:t>
      </w:r>
    </w:p>
    <w:p>
      <w:pPr>
        <w:pStyle w:val="Body A"/>
      </w:pPr>
    </w:p>
    <w:p>
      <w:pPr>
        <w:pStyle w:val="Body A"/>
      </w:pPr>
      <w:r>
        <w:rPr>
          <w:rtl w:val="0"/>
          <w:lang w:val="en-US"/>
        </w:rPr>
        <w:t>The course is open to anyone with an interest and enthusiasm for the subject.</w:t>
      </w:r>
    </w:p>
    <w:p>
      <w:pPr>
        <w:pStyle w:val="Body A"/>
      </w:pPr>
    </w:p>
    <w:p>
      <w:pPr>
        <w:pStyle w:val="Body A"/>
        <w:rPr>
          <w:b w:val="1"/>
          <w:bCs w:val="1"/>
        </w:rPr>
      </w:pPr>
      <w:r>
        <w:rPr>
          <w:b w:val="1"/>
          <w:bCs w:val="1"/>
          <w:rtl w:val="0"/>
          <w:lang w:val="en-US"/>
        </w:rPr>
        <w:t>Teaching Methods</w:t>
      </w:r>
    </w:p>
    <w:p>
      <w:pPr>
        <w:pStyle w:val="Body A"/>
      </w:pPr>
    </w:p>
    <w:p>
      <w:pPr>
        <w:pStyle w:val="Body A"/>
      </w:pPr>
      <w:r>
        <w:rPr>
          <w:rtl w:val="0"/>
          <w:lang w:val="en-US"/>
        </w:rPr>
        <w:t>The module will be taught using a combination of lectures, reading extracts of key texts,  and class discussion. For those wishing to prepare for the University of London external examination there will, in addition, be set essays (two per term). There will be individual feedback on each assignment, together with an opportunity to produce additional, short, pieces of work in order to aid understanding of particular arguments, as necessary. As this preparation involves extra teaching, an additional fee will be charged.</w:t>
      </w:r>
    </w:p>
    <w:p>
      <w:pPr>
        <w:pStyle w:val="Body A"/>
      </w:pPr>
      <w:r>
        <w:rPr>
          <w:rtl w:val="0"/>
          <w:lang w:val="en-US"/>
        </w:rPr>
        <w:t xml:space="preserve">   </w:t>
      </w:r>
    </w:p>
    <w:p>
      <w:pPr>
        <w:pStyle w:val="Body A"/>
        <w:rPr>
          <w:b w:val="1"/>
          <w:bCs w:val="1"/>
        </w:rPr>
      </w:pPr>
    </w:p>
    <w:p>
      <w:pPr>
        <w:pStyle w:val="Body A"/>
        <w:rPr>
          <w:b w:val="1"/>
          <w:bCs w:val="1"/>
        </w:rPr>
      </w:pPr>
      <w:r>
        <w:rPr>
          <w:b w:val="1"/>
          <w:bCs w:val="1"/>
          <w:rtl w:val="0"/>
          <w:lang w:val="en-US"/>
        </w:rPr>
        <w:t>Course Description</w:t>
      </w:r>
    </w:p>
    <w:p>
      <w:pPr>
        <w:pStyle w:val="Body A"/>
      </w:pPr>
    </w:p>
    <w:p>
      <w:pPr>
        <w:pStyle w:val="Body A"/>
        <w:rPr>
          <w:i w:val="1"/>
          <w:iCs w:val="1"/>
        </w:rPr>
      </w:pPr>
      <w:r>
        <w:rPr>
          <w:rtl w:val="0"/>
          <w:lang w:val="en-US"/>
        </w:rPr>
        <w:t xml:space="preserve">This course focusses on the key areas of Philosophy as they have come to be identified over the history of the subject. The intention is to prepare students for the University of London International Programme examination </w:t>
      </w:r>
      <w:r>
        <w:rPr>
          <w:rtl w:val="0"/>
          <w:lang w:val="en-US"/>
        </w:rPr>
        <w:t>‘</w:t>
      </w:r>
      <w:r>
        <w:rPr>
          <w:rtl w:val="0"/>
          <w:lang w:val="en-US"/>
        </w:rPr>
        <w:t>Introduction to Philosophy</w:t>
      </w:r>
      <w:r>
        <w:rPr>
          <w:rtl w:val="0"/>
          <w:lang w:val="en-US"/>
        </w:rPr>
        <w:t xml:space="preserve">’ </w:t>
      </w:r>
      <w:r>
        <w:rPr>
          <w:rtl w:val="0"/>
          <w:lang w:val="en-US"/>
        </w:rPr>
        <w:t xml:space="preserve">and we broadly follow the content of </w:t>
      </w:r>
      <w:r>
        <w:rPr>
          <w:i w:val="1"/>
          <w:iCs w:val="1"/>
          <w:rtl w:val="0"/>
          <w:lang w:val="en-US"/>
        </w:rPr>
        <w:t xml:space="preserve">Reading Philosophy: Selected Texts with a method for Beginners </w:t>
      </w:r>
      <w:r>
        <w:rPr>
          <w:rtl w:val="0"/>
          <w:lang w:val="en-US"/>
        </w:rPr>
        <w:t>(Routledge, 2002). Subjects covered include: Moral Philosophy, Freedom, Political Philosophy, and Aesthetics. The course is open to all students, regardless of whether the University of London examination is entered for.</w:t>
      </w:r>
    </w:p>
    <w:p>
      <w:pPr>
        <w:pStyle w:val="Body A"/>
      </w:pPr>
    </w:p>
    <w:p>
      <w:pPr>
        <w:pStyle w:val="Body A"/>
      </w:pPr>
    </w:p>
    <w:p>
      <w:pPr>
        <w:pStyle w:val="Body A"/>
      </w:pPr>
    </w:p>
    <w:p>
      <w:pPr>
        <w:pStyle w:val="Body A"/>
        <w:rPr>
          <w:b w:val="1"/>
          <w:bCs w:val="1"/>
        </w:rPr>
      </w:pPr>
      <w:r>
        <w:rPr>
          <w:b w:val="1"/>
          <w:bCs w:val="1"/>
        </w:rPr>
        <w:tab/>
        <w:tab/>
        <w:tab/>
        <w:tab/>
      </w:r>
      <w:r>
        <w:rPr>
          <w:b w:val="1"/>
          <w:bCs w:val="1"/>
          <w:rtl w:val="0"/>
          <w:lang w:val="en-US"/>
        </w:rPr>
        <w:t>Module Content</w:t>
      </w:r>
    </w:p>
    <w:p>
      <w:pPr>
        <w:pStyle w:val="Body A"/>
        <w:rPr>
          <w:b w:val="1"/>
          <w:bCs w:val="1"/>
        </w:rPr>
      </w:pPr>
    </w:p>
    <w:p>
      <w:pPr>
        <w:pStyle w:val="Body A"/>
        <w:rPr>
          <w:b w:val="1"/>
          <w:bCs w:val="1"/>
        </w:rPr>
      </w:pPr>
    </w:p>
    <w:p>
      <w:pPr>
        <w:pStyle w:val="Body A"/>
      </w:pPr>
    </w:p>
    <w:p>
      <w:pPr>
        <w:pStyle w:val="Body A"/>
      </w:pPr>
      <w:r>
        <w:rPr>
          <w:u w:val="single"/>
          <w:rtl w:val="0"/>
          <w:lang w:val="en-US"/>
        </w:rPr>
        <w:t>Week1</w:t>
      </w:r>
      <w:r>
        <w:rPr>
          <w:rtl w:val="0"/>
          <w:lang w:val="en-US"/>
        </w:rPr>
        <w:t xml:space="preserve"> </w:t>
      </w:r>
    </w:p>
    <w:p>
      <w:pPr>
        <w:pStyle w:val="Body A"/>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rtl w:val="0"/>
          <w:lang w:val="en-US"/>
        </w:rPr>
        <w:t>The Beginnings of Value: Socrates on Virtue</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rtl w:val="0"/>
          <w:lang w:val="en-US"/>
        </w:rPr>
        <w:t>Tutor: Mark Fielding</w:t>
      </w:r>
    </w:p>
    <w:p>
      <w:pPr>
        <w:pStyle w:val="Body A"/>
      </w:pPr>
    </w:p>
    <w:p>
      <w:pPr>
        <w:pStyle w:val="Body A"/>
        <w:rPr>
          <w:u w:val="single"/>
        </w:rPr>
      </w:pPr>
    </w:p>
    <w:p>
      <w:pPr>
        <w:pStyle w:val="Body A"/>
        <w:rPr>
          <w:u w:val="single"/>
        </w:rPr>
      </w:pPr>
      <w:r>
        <w:rPr>
          <w:u w:val="single"/>
          <w:rtl w:val="0"/>
          <w:lang w:val="en-US"/>
        </w:rPr>
        <w:t>Week 2</w:t>
      </w:r>
    </w:p>
    <w:p>
      <w:pPr>
        <w:pStyle w:val="Body A"/>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rtl w:val="0"/>
          <w:lang w:val="en-US"/>
        </w:rPr>
        <w:t>Aristotle and the Virtues</w:t>
      </w:r>
    </w:p>
    <w:p>
      <w:pPr>
        <w:pStyle w:val="Body A"/>
      </w:pPr>
    </w:p>
    <w:p>
      <w:pPr>
        <w:pStyle w:val="Body A"/>
      </w:pPr>
      <w:r>
        <w:rPr>
          <w:rtl w:val="0"/>
          <w:lang w:val="en-US"/>
        </w:rPr>
        <w:t>Tutor: Mark Fielding</w:t>
      </w:r>
    </w:p>
    <w:p>
      <w:pPr>
        <w:pStyle w:val="Body A"/>
      </w:pPr>
    </w:p>
    <w:p>
      <w:pPr>
        <w:pStyle w:val="Body A"/>
      </w:pPr>
    </w:p>
    <w:p>
      <w:pPr>
        <w:pStyle w:val="Body A"/>
        <w:rPr>
          <w:u w:val="single"/>
        </w:rPr>
      </w:pPr>
      <w:r>
        <w:rPr>
          <w:u w:val="single"/>
          <w:rtl w:val="0"/>
          <w:lang w:val="en-US"/>
        </w:rPr>
        <w:t>Week 3</w:t>
      </w:r>
    </w:p>
    <w:p>
      <w:pPr>
        <w:pStyle w:val="Body A"/>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u w:val="none"/>
          <w:rtl w:val="0"/>
          <w:lang w:val="en-US"/>
        </w:rPr>
        <w:t>What are Moral Dilemmas? E.J. Lemmon</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rtl w:val="0"/>
          <w:lang w:val="en-US"/>
        </w:rPr>
        <w:t>Tutor: Mark Fielding</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single"/>
        </w:rPr>
      </w:pPr>
      <w:r>
        <w:rPr>
          <w:u w:val="single"/>
          <w:rtl w:val="0"/>
          <w:lang w:val="en-US"/>
        </w:rPr>
        <w:t>Week 4</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u w:val="none"/>
          <w:rtl w:val="0"/>
          <w:lang w:val="en-US"/>
        </w:rPr>
        <w:t>The greatest good for the greatest number? J.S. Mill on Utilitarianism</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rtl w:val="0"/>
          <w:lang w:val="en-US"/>
        </w:rPr>
        <w:t>Tutor: Mark Fielding</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singl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single"/>
        </w:rPr>
      </w:pPr>
      <w:r>
        <w:rPr>
          <w:u w:val="single"/>
          <w:rtl w:val="0"/>
          <w:lang w:val="en-US"/>
        </w:rPr>
        <w:t>Week 5</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rtl w:val="0"/>
          <w:lang w:val="en-US"/>
        </w:rPr>
        <w:t>What is it to treat people equally?: Williams on Equality</w:t>
      </w:r>
    </w:p>
    <w:p>
      <w:pPr>
        <w:pStyle w:val="Body A"/>
        <w:rPr>
          <w:u w:val="non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single"/>
        </w:rPr>
      </w:pPr>
      <w:r>
        <w:rPr>
          <w:u w:val="none"/>
          <w:rtl w:val="0"/>
          <w:lang w:val="en-US"/>
        </w:rPr>
        <w:t>Tutor: Mark Fielding</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r>
        <w:rPr>
          <w:u w:val="single"/>
          <w:rtl w:val="0"/>
          <w:lang w:val="en-US"/>
        </w:rPr>
        <w:t>Week 6</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r>
        <w:rPr>
          <w:u w:val="none"/>
          <w:rtl w:val="0"/>
          <w:lang w:val="en-US"/>
        </w:rPr>
        <w:t>Needs and Distribution: Nozick</w:t>
      </w:r>
      <w:r>
        <w:rPr>
          <w:u w:val="none"/>
          <w:rtl w:val="0"/>
          <w:lang w:val="en-US"/>
        </w:rPr>
        <w:t>’</w:t>
      </w:r>
      <w:r>
        <w:rPr>
          <w:u w:val="none"/>
          <w:rtl w:val="0"/>
          <w:lang w:val="en-US"/>
        </w:rPr>
        <w:t>s objections to Williams</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r>
        <w:rPr>
          <w:u w:val="none"/>
          <w:rtl w:val="0"/>
          <w:lang w:val="en-US"/>
        </w:rPr>
        <w:t>Tutor: Mark Fielding</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r>
        <w:rPr>
          <w:u w:val="single"/>
          <w:rtl w:val="0"/>
          <w:lang w:val="en-US"/>
        </w:rPr>
        <w:t>Week 7</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r>
        <w:rPr>
          <w:u w:val="none"/>
          <w:rtl w:val="0"/>
          <w:lang w:val="en-US"/>
        </w:rPr>
        <w:t>Taking pleasure in the presentation of pain: Hume</w:t>
      </w:r>
      <w:r>
        <w:rPr>
          <w:u w:val="none"/>
          <w:rtl w:val="0"/>
          <w:lang w:val="en-US"/>
        </w:rPr>
        <w:t>’</w:t>
      </w:r>
      <w:r>
        <w:rPr>
          <w:u w:val="none"/>
          <w:rtl w:val="0"/>
          <w:lang w:val="en-US"/>
        </w:rPr>
        <w:t>s account of Tragedy</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r>
        <w:rPr>
          <w:rtl w:val="0"/>
          <w:lang w:val="en-US"/>
        </w:rPr>
        <w:t>Tutor: Jane O</w:t>
      </w:r>
      <w:r>
        <w:rPr>
          <w:rtl w:val="0"/>
          <w:lang w:val="en-US"/>
        </w:rPr>
        <w:t>’</w:t>
      </w:r>
      <w:r>
        <w:rPr>
          <w:rtl w:val="0"/>
          <w:lang w:val="en-US"/>
        </w:rPr>
        <w:t>Grady</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single"/>
        </w:rPr>
      </w:pPr>
      <w:r>
        <w:rPr>
          <w:u w:val="single"/>
          <w:rtl w:val="0"/>
          <w:lang w:val="en-US"/>
        </w:rPr>
        <w:t>Week 8</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singl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rtl w:val="0"/>
          <w:lang w:val="en-US"/>
        </w:rPr>
        <w:t>Another solution to the paradox of Tragedy: Susan Feagin</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u w:val="none"/>
          <w:rtl w:val="0"/>
          <w:lang w:val="en-US"/>
        </w:rPr>
        <w:t>Tutor: Jane O</w:t>
      </w:r>
      <w:r>
        <w:rPr>
          <w:u w:val="none"/>
          <w:rtl w:val="0"/>
          <w:lang w:val="en-US"/>
        </w:rPr>
        <w:t>’</w:t>
      </w:r>
      <w:r>
        <w:rPr>
          <w:u w:val="none"/>
          <w:rtl w:val="0"/>
          <w:lang w:val="en-US"/>
        </w:rPr>
        <w:t>Grady</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r>
        <w:rPr>
          <w:u w:val="single"/>
          <w:rtl w:val="0"/>
          <w:lang w:val="en-US"/>
        </w:rPr>
        <w:t>Week 9</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r>
        <w:rPr>
          <w:u w:val="none"/>
          <w:rtl w:val="0"/>
          <w:lang w:val="en-US"/>
        </w:rPr>
        <w:t>How Free are We? Free Will and Determinism</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r>
        <w:rPr>
          <w:u w:val="none"/>
          <w:rtl w:val="0"/>
          <w:lang w:val="en-US"/>
        </w:rPr>
        <w:t>Tutor: Jane O</w:t>
      </w:r>
      <w:r>
        <w:rPr>
          <w:u w:val="none"/>
          <w:rtl w:val="0"/>
          <w:lang w:val="en-US"/>
        </w:rPr>
        <w:t>’</w:t>
      </w:r>
      <w:r>
        <w:rPr>
          <w:u w:val="none"/>
          <w:rtl w:val="0"/>
          <w:lang w:val="en-US"/>
        </w:rPr>
        <w:t>Grady</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r>
        <w:rPr>
          <w:u w:val="single"/>
          <w:rtl w:val="0"/>
          <w:lang w:val="en-US"/>
        </w:rPr>
        <w:t>Week 10</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u w:val="none"/>
          <w:rtl w:val="0"/>
          <w:lang w:val="en-US"/>
        </w:rPr>
        <w:t>Strawson, Freedom, and Resentment</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r>
        <w:rPr>
          <w:rtl w:val="0"/>
          <w:lang w:val="en-US"/>
        </w:rPr>
        <w:t>Tutor: Jane O</w:t>
      </w:r>
      <w:r>
        <w:rPr>
          <w:rtl w:val="0"/>
          <w:lang w:val="en-US"/>
        </w:rPr>
        <w:t>’</w:t>
      </w:r>
      <w:r>
        <w:rPr>
          <w:rtl w:val="0"/>
          <w:lang w:val="en-US"/>
        </w:rPr>
        <w:t>Grady</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r>
        <w:rPr>
          <w:u w:val="none"/>
          <w:rtl w:val="0"/>
          <w:lang w:val="en-US"/>
        </w:rPr>
        <w:t>Suggested readings:</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r>
        <w:rPr>
          <w:u w:val="none"/>
          <w:rtl w:val="0"/>
          <w:lang w:val="en-US"/>
        </w:rPr>
        <w:t>No additional readings are necessary, but it</w:t>
      </w:r>
      <w:r>
        <w:rPr>
          <w:u w:val="none"/>
          <w:rtl w:val="0"/>
          <w:lang w:val="en-US"/>
        </w:rPr>
        <w:t>’</w:t>
      </w:r>
      <w:r>
        <w:rPr>
          <w:u w:val="none"/>
          <w:rtl w:val="0"/>
          <w:lang w:val="en-US"/>
        </w:rPr>
        <w:t>s sometimes helpful to read a number of different discussions of the same problem to assist in understanding. Not all Philosophers are also clear writers!</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r>
        <w:rPr>
          <w:u w:val="none"/>
          <w:rtl w:val="0"/>
          <w:lang w:val="en-US"/>
        </w:rPr>
        <w:t>Here are a few suggestions:</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i w:val="1"/>
          <w:iCs w:val="1"/>
          <w:u w:val="none"/>
          <w:rtl w:val="0"/>
          <w:lang w:val="en-US"/>
        </w:rPr>
        <w:t>Introducing Philosophy: A Text with Integrated Readings</w:t>
      </w:r>
      <w:r>
        <w:rPr>
          <w:rtl w:val="0"/>
          <w:lang w:val="en-US"/>
        </w:rPr>
        <w:t>, Robert C. Solomon OUP 2015 (the older editions are still available and at a much lower cost!)</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i w:val="1"/>
          <w:iCs w:val="1"/>
          <w:u w:val="non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r>
        <w:rPr>
          <w:i w:val="1"/>
          <w:iCs w:val="1"/>
          <w:u w:val="none"/>
          <w:rtl w:val="0"/>
          <w:lang w:val="en-US"/>
        </w:rPr>
        <w:t>Think: A Compelling Introduction to Philosophy</w:t>
      </w:r>
      <w:r>
        <w:rPr>
          <w:u w:val="none"/>
          <w:rtl w:val="0"/>
          <w:lang w:val="en-US"/>
        </w:rPr>
        <w:t>, Simon Blackburn. OUP 2001</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r>
        <w:rPr>
          <w:i w:val="1"/>
          <w:iCs w:val="1"/>
          <w:u w:val="none"/>
          <w:rtl w:val="0"/>
          <w:lang w:val="en-US"/>
        </w:rPr>
        <w:t>The Problems of Philosophy</w:t>
      </w:r>
      <w:r>
        <w:rPr>
          <w:u w:val="none"/>
          <w:rtl w:val="0"/>
          <w:lang w:val="en-US"/>
        </w:rPr>
        <w:t>, Bertrand Russell. Cosimo 2007</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r>
        <w:rPr>
          <w:i w:val="1"/>
          <w:iCs w:val="1"/>
          <w:u w:val="none"/>
          <w:rtl w:val="0"/>
          <w:lang w:val="en-US"/>
        </w:rPr>
        <w:t>What Does It All Mean?: A Very Short Introduction to Philosophy</w:t>
      </w:r>
      <w:r>
        <w:rPr>
          <w:u w:val="none"/>
          <w:rtl w:val="0"/>
          <w:lang w:val="en-US"/>
        </w:rPr>
        <w:t>, Thomas Nagel. OUP 1989</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r>
        <w:rPr>
          <w:i w:val="1"/>
          <w:iCs w:val="1"/>
          <w:u w:val="none"/>
          <w:rtl w:val="0"/>
          <w:lang w:val="en-US"/>
        </w:rPr>
        <w:t>Western Philosophy: An Anthology</w:t>
      </w:r>
      <w:r>
        <w:rPr>
          <w:u w:val="none"/>
          <w:rtl w:val="0"/>
          <w:lang w:val="en-US"/>
        </w:rPr>
        <w:t>, (Ed.) John Cottingham. Wiley-Blackwell 2008</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i w:val="1"/>
          <w:iCs w:val="1"/>
          <w:u w:val="non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non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caps w:val="0"/>
          <w:smallCaps w:val="0"/>
          <w:strike w:val="0"/>
          <w:dstrike w:val="0"/>
          <w:outline w:val="0"/>
          <w:color w:val="000000"/>
          <w:spacing w:val="0"/>
          <w:kern w:val="0"/>
          <w:position w:val="0"/>
          <w:u w:val="none" w:color="000000"/>
          <w:vertAlign w:val="baseline"/>
        </w:rPr>
      </w:pPr>
    </w:p>
    <w:p>
      <w:pPr>
        <w:pStyle w:val="Body A"/>
      </w:pPr>
    </w:p>
    <w:p>
      <w:pPr>
        <w:pStyle w:val="Body A"/>
      </w:pPr>
    </w:p>
    <w:p>
      <w:pPr>
        <w:pStyle w:val="Body A"/>
      </w:pPr>
      <w:r/>
    </w:p>
    <w:sectPr>
      <w:headerReference w:type="default" r:id="rId5"/>
      <w:headerReference w:type="even" r:id="rId6"/>
      <w:footerReference w:type="default" r:id="rId7"/>
      <w:footerReference w:type="even" r:id="rId8"/>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0" w:comments="1" w:insDel="0"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bidi w:val="0"/>
      <w:spacing w:before="0" w:after="0" w:line="240" w:lineRule="auto"/>
      <w:ind w:left="0" w:right="0" w:firstLine="0"/>
      <w:jc w:val="both"/>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A">
    <w:name w:val="Body A A"/>
    <w:next w:val="Body A A"/>
    <w:pPr>
      <w:keepNext w:val="0"/>
      <w:keepLines w:val="0"/>
      <w:pageBreakBefore w:val="0"/>
      <w:widowControl w:val="1"/>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