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rPr>
      </w:pPr>
      <w:r>
        <w:rPr>
          <w:b w:val="1"/>
          <w:bCs w:val="1"/>
        </w:rPr>
        <w:tab/>
        <w:tab/>
        <w:tab/>
      </w: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r>
        <w:rPr>
          <w:rFonts w:ascii="Times New Roman" w:hAnsi="Times New Roman"/>
          <w:b w:val="1"/>
          <w:bCs w:val="1"/>
        </w:rPr>
        <w:drawing xmlns:a="http://schemas.openxmlformats.org/drawingml/2006/main">
          <wp:anchor distT="152400" distB="152400" distL="152400" distR="152400" simplePos="0" relativeHeight="251659264" behindDoc="0" locked="0" layoutInCell="1" allowOverlap="1">
            <wp:simplePos x="0" y="0"/>
            <wp:positionH relativeFrom="page">
              <wp:posOffset>1136651</wp:posOffset>
            </wp:positionH>
            <wp:positionV relativeFrom="page">
              <wp:posOffset>660400</wp:posOffset>
            </wp:positionV>
            <wp:extent cx="1752797" cy="1218338"/>
            <wp:effectExtent l="0" t="0" r="0" b="0"/>
            <wp:wrapThrough wrapText="bothSides" distL="152400" distR="152400">
              <wp:wrapPolygon edited="1">
                <wp:start x="0" y="0"/>
                <wp:lineTo x="21600" y="0"/>
                <wp:lineTo x="21600" y="21600"/>
                <wp:lineTo x="0" y="21600"/>
                <wp:lineTo x="0" y="0"/>
              </wp:wrapPolygon>
            </wp:wrapThrough>
            <wp:docPr id="1073741825" name="officeArt object" descr="LSP Logo.jpg"/>
            <wp:cNvGraphicFramePr/>
            <a:graphic xmlns:a="http://schemas.openxmlformats.org/drawingml/2006/main">
              <a:graphicData uri="http://schemas.openxmlformats.org/drawingml/2006/picture">
                <pic:pic xmlns:pic="http://schemas.openxmlformats.org/drawingml/2006/picture">
                  <pic:nvPicPr>
                    <pic:cNvPr id="1073741825" name="LSP Logo.jpg" descr="LSP Logo.jpg"/>
                    <pic:cNvPicPr>
                      <a:picLocks noChangeAspect="1"/>
                    </pic:cNvPicPr>
                  </pic:nvPicPr>
                  <pic:blipFill>
                    <a:blip r:embed="rId4">
                      <a:extLst/>
                    </a:blip>
                    <a:stretch>
                      <a:fillRect/>
                    </a:stretch>
                  </pic:blipFill>
                  <pic:spPr>
                    <a:xfrm>
                      <a:off x="0" y="0"/>
                      <a:ext cx="1752797" cy="1218338"/>
                    </a:xfrm>
                    <a:prstGeom prst="rect">
                      <a:avLst/>
                    </a:prstGeom>
                    <a:ln w="12700" cap="flat">
                      <a:noFill/>
                      <a:miter lim="400000"/>
                    </a:ln>
                    <a:effectLst/>
                  </pic:spPr>
                </pic:pic>
              </a:graphicData>
            </a:graphic>
          </wp:anchor>
        </w:drawing>
      </w:r>
    </w:p>
    <w:p>
      <w:pPr>
        <w:pStyle w:val="Body A"/>
      </w:pPr>
    </w:p>
    <w:p>
      <w:pPr>
        <w:pStyle w:val="Body A"/>
      </w:pPr>
      <w:r>
        <w:tab/>
        <w:tab/>
        <w:tab/>
      </w:r>
      <w:r>
        <w:rPr>
          <w:sz w:val="28"/>
          <w:szCs w:val="28"/>
          <w:rtl w:val="0"/>
          <w:lang w:val="en-US"/>
        </w:rPr>
        <w:t>Academic Year</w:t>
        <w:tab/>
        <w:t>20</w:t>
      </w:r>
      <w:r>
        <w:rPr>
          <w:sz w:val="28"/>
          <w:szCs w:val="28"/>
          <w:rtl w:val="0"/>
          <w:lang w:val="en-US"/>
        </w:rPr>
        <w:t>21-22</w:t>
      </w:r>
    </w:p>
    <w:p>
      <w:pPr>
        <w:pStyle w:val="Body A"/>
      </w:pPr>
    </w:p>
    <w:p>
      <w:pPr>
        <w:pStyle w:val="Body A"/>
      </w:pPr>
    </w:p>
    <w:p>
      <w:pPr>
        <w:pStyle w:val="Body A"/>
      </w:pPr>
    </w:p>
    <w:p>
      <w:pPr>
        <w:pStyle w:val="Body A"/>
        <w:rPr>
          <w:sz w:val="28"/>
          <w:szCs w:val="28"/>
        </w:rPr>
      </w:pPr>
      <w:r>
        <w:rPr>
          <w:sz w:val="28"/>
          <w:szCs w:val="28"/>
        </w:rPr>
        <w:tab/>
        <w:tab/>
        <w:tab/>
      </w:r>
      <w:r>
        <w:rPr>
          <w:b w:val="1"/>
          <w:bCs w:val="1"/>
          <w:sz w:val="28"/>
          <w:szCs w:val="28"/>
          <w:rtl w:val="0"/>
          <w:lang w:val="en-US"/>
        </w:rPr>
        <w:t>Hellenistic Philosophy</w:t>
      </w:r>
    </w:p>
    <w:p>
      <w:pPr>
        <w:pStyle w:val="Body A"/>
      </w:pPr>
    </w:p>
    <w:p>
      <w:pPr>
        <w:pStyle w:val="Body A"/>
      </w:pPr>
    </w:p>
    <w:p>
      <w:pPr>
        <w:pStyle w:val="Body A"/>
      </w:pPr>
    </w:p>
    <w:p>
      <w:pPr>
        <w:pStyle w:val="Body A"/>
      </w:pPr>
      <w:r>
        <w:rPr>
          <w:rtl w:val="0"/>
          <w:lang w:val="en-US"/>
        </w:rPr>
        <w:t>Venue</w:t>
        <w:tab/>
        <w:tab/>
        <w:tab/>
      </w:r>
      <w:r>
        <w:rPr>
          <w:rtl w:val="0"/>
          <w:lang w:val="en-US"/>
        </w:rPr>
        <w:t>On-line</w:t>
      </w:r>
    </w:p>
    <w:p>
      <w:pPr>
        <w:pStyle w:val="Body A"/>
      </w:pPr>
    </w:p>
    <w:p>
      <w:pPr>
        <w:pStyle w:val="Body A"/>
      </w:pPr>
      <w:r>
        <w:rPr>
          <w:rtl w:val="0"/>
          <w:lang w:val="en-US"/>
        </w:rPr>
        <w:t>Day and Time</w:t>
        <w:tab/>
        <w:t>Monday 11am to 1pm</w:t>
      </w:r>
    </w:p>
    <w:p>
      <w:pPr>
        <w:pStyle w:val="Body A"/>
      </w:pPr>
    </w:p>
    <w:p>
      <w:pPr>
        <w:pStyle w:val="Body A"/>
      </w:pPr>
      <w:r>
        <w:rPr>
          <w:rtl w:val="0"/>
          <w:lang w:val="en-US"/>
        </w:rPr>
        <w:t>Term Dates</w:t>
        <w:tab/>
        <w:tab/>
      </w:r>
      <w:r>
        <w:rPr>
          <w:rtl w:val="0"/>
          <w:lang w:val="en-US"/>
        </w:rPr>
        <w:t>25th April - 4th July (includes one Bank Holiday)</w:t>
      </w:r>
    </w:p>
    <w:p>
      <w:pPr>
        <w:pStyle w:val="Body A"/>
      </w:pPr>
    </w:p>
    <w:p>
      <w:pPr>
        <w:pStyle w:val="Body A"/>
      </w:pPr>
      <w:r>
        <w:rPr>
          <w:rtl w:val="0"/>
          <w:lang w:val="en-US"/>
        </w:rPr>
        <w:t>No. of Meetings</w:t>
        <w:tab/>
        <w:t>10</w:t>
      </w:r>
    </w:p>
    <w:p>
      <w:pPr>
        <w:pStyle w:val="Body A"/>
      </w:pPr>
    </w:p>
    <w:p>
      <w:pPr>
        <w:pStyle w:val="Body A"/>
      </w:pPr>
      <w:r>
        <w:rPr>
          <w:rtl w:val="0"/>
          <w:lang w:val="en-US"/>
        </w:rPr>
        <w:t>Module taught by</w:t>
        <w:tab/>
        <w:t>Mark Fielding</w:t>
      </w:r>
    </w:p>
    <w:p>
      <w:pPr>
        <w:pStyle w:val="Body A"/>
      </w:pPr>
    </w:p>
    <w:p>
      <w:pPr>
        <w:pStyle w:val="Body A"/>
      </w:pPr>
      <w:r>
        <w:rPr>
          <w:rtl w:val="0"/>
          <w:lang w:val="en-US"/>
        </w:rPr>
        <w:t>Fee</w:t>
        <w:tab/>
        <w:tab/>
        <w:tab/>
      </w:r>
      <w:r>
        <w:rPr>
          <w:rtl w:val="0"/>
          <w:lang w:val="en-US"/>
        </w:rPr>
        <w:t>£</w:t>
      </w:r>
      <w:r>
        <w:rPr>
          <w:rtl w:val="0"/>
          <w:lang w:val="en-US"/>
        </w:rPr>
        <w:t>1</w:t>
      </w:r>
      <w:r>
        <w:rPr>
          <w:rtl w:val="0"/>
          <w:lang w:val="en-US"/>
        </w:rPr>
        <w:t>00</w:t>
      </w:r>
    </w:p>
    <w:p>
      <w:pPr>
        <w:pStyle w:val="Body A"/>
      </w:pPr>
    </w:p>
    <w:p>
      <w:pPr>
        <w:pStyle w:val="Body A"/>
      </w:pPr>
    </w:p>
    <w:p>
      <w:pPr>
        <w:pStyle w:val="Body A"/>
        <w:rPr>
          <w:b w:val="1"/>
          <w:bCs w:val="1"/>
        </w:rPr>
      </w:pPr>
      <w:r>
        <w:rPr>
          <w:b w:val="1"/>
          <w:bCs w:val="1"/>
          <w:rtl w:val="0"/>
          <w:lang w:val="en-US"/>
        </w:rPr>
        <w:t>Entrance Requirements</w:t>
      </w:r>
    </w:p>
    <w:p>
      <w:pPr>
        <w:pStyle w:val="Body A"/>
      </w:pPr>
    </w:p>
    <w:p>
      <w:pPr>
        <w:pStyle w:val="Body A"/>
      </w:pPr>
      <w:r>
        <w:rPr>
          <w:rtl w:val="0"/>
          <w:lang w:val="en-US"/>
        </w:rPr>
        <w:t>The course is open to anyone with an interest and enthusiasm for the subject.</w:t>
      </w:r>
    </w:p>
    <w:p>
      <w:pPr>
        <w:pStyle w:val="Body A"/>
      </w:pPr>
    </w:p>
    <w:p>
      <w:pPr>
        <w:pStyle w:val="Body A"/>
        <w:rPr>
          <w:b w:val="1"/>
          <w:bCs w:val="1"/>
        </w:rPr>
      </w:pPr>
      <w:r>
        <w:rPr>
          <w:b w:val="1"/>
          <w:bCs w:val="1"/>
          <w:rtl w:val="0"/>
          <w:lang w:val="en-US"/>
        </w:rPr>
        <w:t>Teaching Methods</w:t>
      </w:r>
    </w:p>
    <w:p>
      <w:pPr>
        <w:pStyle w:val="Body A"/>
      </w:pPr>
    </w:p>
    <w:p>
      <w:pPr>
        <w:pStyle w:val="Body A"/>
      </w:pPr>
      <w:r>
        <w:rPr>
          <w:rtl w:val="0"/>
          <w:lang w:val="en-US"/>
        </w:rPr>
        <w:t xml:space="preserve">The </w:t>
      </w:r>
      <w:r>
        <w:rPr>
          <w:rtl w:val="0"/>
          <w:lang w:val="en-US"/>
        </w:rPr>
        <w:t>course</w:t>
      </w:r>
      <w:r>
        <w:rPr>
          <w:rtl w:val="0"/>
          <w:lang w:val="en-US"/>
        </w:rPr>
        <w:t xml:space="preserve"> will be taught using a combination of </w:t>
      </w:r>
      <w:r>
        <w:rPr>
          <w:rtl w:val="0"/>
          <w:lang w:val="en-US"/>
        </w:rPr>
        <w:t xml:space="preserve">on-line </w:t>
      </w:r>
      <w:r>
        <w:rPr>
          <w:rtl w:val="0"/>
          <w:lang w:val="en-US"/>
        </w:rPr>
        <w:t xml:space="preserve">lectures, reading extracts of key texts, and </w:t>
      </w:r>
      <w:r>
        <w:rPr>
          <w:rtl w:val="0"/>
          <w:lang w:val="en-US"/>
        </w:rPr>
        <w:t xml:space="preserve">on-line </w:t>
      </w:r>
      <w:r>
        <w:rPr>
          <w:rtl w:val="0"/>
          <w:lang w:val="en-US"/>
        </w:rPr>
        <w:t>class discussion.</w:t>
      </w:r>
      <w:r>
        <w:rPr>
          <w:rtl w:val="0"/>
          <w:lang w:val="en-US"/>
        </w:rPr>
        <w:t xml:space="preserve"> In this case, the recommended book will be the focus of each class.</w:t>
      </w:r>
      <w:r>
        <w:rPr>
          <w:rtl w:val="0"/>
          <w:lang w:val="en-US"/>
        </w:rPr>
        <w:t xml:space="preserve">   </w:t>
      </w:r>
    </w:p>
    <w:p>
      <w:pPr>
        <w:pStyle w:val="Body A"/>
        <w:rPr>
          <w:b w:val="1"/>
          <w:bCs w:val="1"/>
        </w:rPr>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rPr>
          <w:b w:val="1"/>
          <w:bCs w:val="1"/>
        </w:rPr>
      </w:pPr>
      <w:r>
        <w:rPr>
          <w:b w:val="1"/>
          <w:bCs w:val="1"/>
          <w:rtl w:val="0"/>
          <w:lang w:val="en-US"/>
        </w:rPr>
        <w:t>Course Description</w:t>
      </w:r>
    </w:p>
    <w:p>
      <w:pPr>
        <w:pStyle w:val="Body A"/>
      </w:pPr>
    </w:p>
    <w:p>
      <w:pPr>
        <w:pStyle w:val="Body A A"/>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Helvetica Neue" w:cs="Helvetica Neue" w:hAnsi="Helvetica Neue" w:eastAsia="Helvetica Neue"/>
          <w14:textOutline w14:w="12700" w14:cap="flat">
            <w14:noFill/>
            <w14:miter w14:lim="400000"/>
          </w14:textOutline>
        </w:rPr>
      </w:pPr>
      <w:r>
        <w:rPr>
          <w:rFonts w:ascii="Helvetica Neue" w:hAnsi="Helvetica Neue"/>
          <w:rtl w:val="0"/>
          <w:lang w:val="en-US"/>
          <w14:textOutline w14:w="12700" w14:cap="flat">
            <w14:noFill/>
            <w14:miter w14:lim="400000"/>
          </w14:textOutline>
        </w:rPr>
        <w:t>The period following the initial eruption of Philosophical invention is often neglected. This course covers the main schools and the related developments in philosophical thought which introduced many profound considerations into questions of how we live our lives and provides a crucial link between the Greek and Christian conceptions of our world.</w:t>
      </w:r>
    </w:p>
    <w:p>
      <w:pPr>
        <w:pStyle w:val="Body A A"/>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Helvetica Neue" w:cs="Helvetica Neue" w:hAnsi="Helvetica Neue" w:eastAsia="Helvetica Neue"/>
          <w14:textOutline w14:w="12700" w14:cap="flat">
            <w14:noFill/>
            <w14:miter w14:lim="400000"/>
          </w14:textOutline>
        </w:rPr>
      </w:pPr>
    </w:p>
    <w:p>
      <w:pPr>
        <w:pStyle w:val="Body A A"/>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Helvetica Neue" w:cs="Helvetica Neue" w:hAnsi="Helvetica Neue" w:eastAsia="Helvetica Neue"/>
          <w14:textOutline w14:w="12700" w14:cap="flat">
            <w14:noFill/>
            <w14:miter w14:lim="400000"/>
          </w14:textOutline>
        </w:rPr>
      </w:pPr>
      <w:r>
        <w:rPr>
          <w:rFonts w:ascii="Helvetica Neue" w:hAnsi="Helvetica Neue"/>
          <w:rtl w:val="0"/>
          <w:lang w:val="en-US"/>
          <w14:textOutline w14:w="12700" w14:cap="flat">
            <w14:noFill/>
            <w14:miter w14:lim="400000"/>
          </w14:textOutline>
        </w:rPr>
        <w:t xml:space="preserve">The main text will be: </w:t>
      </w:r>
      <w:r>
        <w:rPr>
          <w:rFonts w:ascii="Helvetica Neue" w:hAnsi="Helvetica Neue"/>
          <w:i w:val="1"/>
          <w:iCs w:val="1"/>
          <w:rtl w:val="0"/>
          <w:lang w:val="en-US"/>
          <w14:textOutline w14:w="12700" w14:cap="flat">
            <w14:noFill/>
            <w14:miter w14:lim="400000"/>
          </w14:textOutline>
        </w:rPr>
        <w:t>Hellenistic Philosophy</w:t>
      </w:r>
      <w:r>
        <w:rPr>
          <w:rFonts w:ascii="Helvetica Neue" w:hAnsi="Helvetica Neue"/>
          <w:rtl w:val="0"/>
          <w:lang w:val="en-US"/>
          <w14:textOutline w14:w="12700" w14:cap="flat">
            <w14:noFill/>
            <w14:miter w14:lim="400000"/>
          </w14:textOutline>
        </w:rPr>
        <w:t xml:space="preserve"> by John Sellars. OUP 2018</w:t>
      </w:r>
    </w:p>
    <w:p>
      <w:pPr>
        <w:pStyle w:val="Body A"/>
      </w:pPr>
    </w:p>
    <w:p>
      <w:pPr>
        <w:pStyle w:val="Body A"/>
      </w:pPr>
    </w:p>
    <w:p>
      <w:pPr>
        <w:pStyle w:val="Body A"/>
        <w:rPr>
          <w:b w:val="1"/>
          <w:bCs w:val="1"/>
        </w:rPr>
      </w:pPr>
      <w:r>
        <w:rPr>
          <w:b w:val="1"/>
          <w:bCs w:val="1"/>
        </w:rPr>
        <w:tab/>
        <w:tab/>
        <w:tab/>
        <w:tab/>
      </w:r>
      <w:r>
        <w:rPr>
          <w:b w:val="1"/>
          <w:bCs w:val="1"/>
          <w:rtl w:val="0"/>
          <w:lang w:val="en-US"/>
        </w:rPr>
        <w:t>Module Content</w:t>
      </w:r>
    </w:p>
    <w:p>
      <w:pPr>
        <w:pStyle w:val="Body A"/>
        <w:rPr>
          <w:b w:val="1"/>
          <w:bCs w:val="1"/>
        </w:rPr>
      </w:pPr>
    </w:p>
    <w:p>
      <w:pPr>
        <w:pStyle w:val="Body A"/>
      </w:pPr>
    </w:p>
    <w:p>
      <w:pPr>
        <w:pStyle w:val="Body A"/>
      </w:pPr>
      <w:r>
        <w:rPr>
          <w:u w:val="single"/>
          <w:rtl w:val="0"/>
          <w:lang w:val="en-US"/>
        </w:rPr>
        <w:t>Week1</w:t>
      </w:r>
      <w:r>
        <w:rPr>
          <w:rtl w:val="0"/>
          <w:lang w:val="en-US"/>
        </w:rPr>
        <w:t xml:space="preserve"> </w:t>
      </w:r>
    </w:p>
    <w:p>
      <w:pPr>
        <w:pStyle w:val="Body A"/>
      </w:pPr>
    </w:p>
    <w:p>
      <w:pPr>
        <w:pStyle w:val="Body A"/>
      </w:pPr>
      <w:r>
        <w:rPr>
          <w:rtl w:val="0"/>
          <w:lang w:val="en-US"/>
        </w:rPr>
        <w:t>What, When, Where, and Who</w:t>
      </w:r>
    </w:p>
    <w:p>
      <w:pPr>
        <w:pStyle w:val="Body A"/>
      </w:pPr>
    </w:p>
    <w:p>
      <w:pPr>
        <w:pStyle w:val="Body A"/>
      </w:pPr>
      <w:r>
        <w:rPr>
          <w:rtl w:val="0"/>
          <w:lang w:val="en-US"/>
        </w:rPr>
        <w:t>Chapter 1 of Sellars</w:t>
      </w:r>
    </w:p>
    <w:p>
      <w:pPr>
        <w:pStyle w:val="Body A"/>
        <w:rPr>
          <w:u w:val="single"/>
        </w:rPr>
      </w:pPr>
    </w:p>
    <w:p>
      <w:pPr>
        <w:pStyle w:val="Body A"/>
        <w:rPr>
          <w:u w:val="single"/>
        </w:rPr>
      </w:pPr>
      <w:r>
        <w:rPr>
          <w:u w:val="single"/>
          <w:rtl w:val="0"/>
          <w:lang w:val="en-US"/>
        </w:rPr>
        <w:t>Week 2</w:t>
      </w:r>
    </w:p>
    <w:p>
      <w:pPr>
        <w:pStyle w:val="Body A"/>
      </w:pPr>
    </w:p>
    <w:p>
      <w:pPr>
        <w:pStyle w:val="Body A"/>
      </w:pPr>
      <w:r>
        <w:rPr>
          <w:rtl w:val="0"/>
          <w:lang w:val="en-US"/>
        </w:rPr>
        <w:t>Knowledge</w:t>
      </w:r>
    </w:p>
    <w:p>
      <w:pPr>
        <w:pStyle w:val="Body A"/>
      </w:pPr>
    </w:p>
    <w:p>
      <w:pPr>
        <w:pStyle w:val="Body A"/>
      </w:pPr>
      <w:r>
        <w:rPr>
          <w:rtl w:val="0"/>
          <w:lang w:val="en-US"/>
        </w:rPr>
        <w:t>Chapter 2 of Sellars</w:t>
      </w:r>
    </w:p>
    <w:p>
      <w:pPr>
        <w:pStyle w:val="Body A"/>
      </w:pPr>
    </w:p>
    <w:p>
      <w:pPr>
        <w:pStyle w:val="Body A"/>
        <w:rPr>
          <w:u w:val="single"/>
        </w:rPr>
      </w:pPr>
      <w:r>
        <w:rPr>
          <w:u w:val="single"/>
          <w:rtl w:val="0"/>
          <w:lang w:val="en-US"/>
        </w:rPr>
        <w:t>Week 3</w:t>
      </w:r>
    </w:p>
    <w:p>
      <w:pPr>
        <w:pStyle w:val="Body A"/>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rtl w:val="0"/>
          <w:lang w:val="en-US"/>
        </w:rPr>
        <w:t>Nature</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rtl w:val="0"/>
          <w:lang w:val="en-US"/>
        </w:rPr>
        <w:t>Chapter 3 of Sellars</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single"/>
        </w:rPr>
      </w:pPr>
      <w:r>
        <w:rPr>
          <w:u w:val="single"/>
          <w:rtl w:val="0"/>
          <w:lang w:val="en-US"/>
        </w:rPr>
        <w:t>Week 4</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rtl w:val="0"/>
          <w:lang w:val="en-US"/>
        </w:rPr>
        <w:t>The Self</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single"/>
        </w:rPr>
      </w:pPr>
      <w:r>
        <w:rPr>
          <w:rtl w:val="0"/>
          <w:lang w:val="en-US"/>
        </w:rPr>
        <w:t>Chapter 4 of Sellars</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singl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single"/>
        </w:rPr>
      </w:pPr>
      <w:r>
        <w:rPr>
          <w:u w:val="single"/>
          <w:rtl w:val="0"/>
          <w:lang w:val="en-US"/>
        </w:rPr>
        <w:t>Week 5</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singl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rtl w:val="0"/>
          <w:lang w:val="en-US"/>
        </w:rPr>
        <w:t>The Good</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rtl w:val="0"/>
          <w:lang w:val="en-US"/>
        </w:rPr>
        <w:t>Chapter 5 of Sellars</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r>
        <w:rPr>
          <w:u w:val="single"/>
          <w:rtl w:val="0"/>
          <w:lang w:val="en-US"/>
        </w:rPr>
        <w:t>Week 6</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r>
        <w:rPr>
          <w:u w:val="none"/>
          <w:rtl w:val="0"/>
          <w:lang w:val="en-US"/>
        </w:rPr>
        <w:t>Freewill</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r>
        <w:rPr>
          <w:u w:val="none"/>
          <w:rtl w:val="0"/>
          <w:lang w:val="en-US"/>
        </w:rPr>
        <w:t>Chapter 6 of Sellars</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r>
        <w:rPr>
          <w:u w:val="single"/>
          <w:rtl w:val="0"/>
          <w:lang w:val="en-US"/>
        </w:rPr>
        <w:t>Week 7</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r>
        <w:rPr>
          <w:u w:val="none"/>
          <w:rtl w:val="0"/>
          <w:lang w:val="en-US"/>
        </w:rPr>
        <w:t>Finitude</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r>
        <w:rPr>
          <w:u w:val="none"/>
          <w:rtl w:val="0"/>
          <w:lang w:val="en-US"/>
        </w:rPr>
        <w:t>Chapter 7 of Sellars</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single"/>
        </w:rPr>
      </w:pPr>
      <w:r>
        <w:rPr>
          <w:u w:val="single"/>
          <w:rtl w:val="0"/>
          <w:lang w:val="en-US"/>
        </w:rPr>
        <w:t>Week 8</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singl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rtl w:val="0"/>
          <w:lang w:val="en-US"/>
        </w:rPr>
        <w:t>Community</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single"/>
        </w:rPr>
      </w:pPr>
      <w:r>
        <w:rPr>
          <w:rtl w:val="0"/>
          <w:lang w:val="en-US"/>
        </w:rPr>
        <w:t>Chapter 8 of Sellars</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singl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r>
        <w:rPr>
          <w:u w:val="single"/>
          <w:rtl w:val="0"/>
          <w:lang w:val="en-US"/>
        </w:rPr>
        <w:t>Week 9</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r>
        <w:rPr>
          <w:u w:val="none"/>
          <w:rtl w:val="0"/>
          <w:lang w:val="en-US"/>
        </w:rPr>
        <w:t>What was Hellenistic Philosophy?</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r>
        <w:rPr>
          <w:u w:val="none"/>
          <w:rtl w:val="0"/>
          <w:lang w:val="en-US"/>
        </w:rPr>
        <w:t>Chapter 9 of Sellars</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r>
        <w:rPr>
          <w:u w:val="single"/>
          <w:rtl w:val="0"/>
          <w:lang w:val="en-US"/>
        </w:rPr>
        <w:t>Week 10</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r>
        <w:rPr>
          <w:u w:val="none"/>
          <w:rtl w:val="0"/>
          <w:lang w:val="en-US"/>
        </w:rPr>
        <w:t>What happened next?</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r>
        <w:rPr>
          <w:u w:val="none"/>
          <w:rtl w:val="0"/>
          <w:lang w:val="en-US"/>
        </w:rPr>
        <w:t>The legacy of Philosophy in the post-Greek era</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r>
        <w:rPr>
          <w:u w:val="none"/>
          <w:rtl w:val="0"/>
          <w:lang w:val="en-US"/>
        </w:rPr>
        <w:t>There are, of course, additional books available. All the core texts will be provided, but if you</w:t>
      </w:r>
      <w:r>
        <w:rPr>
          <w:u w:val="none"/>
          <w:rtl w:val="0"/>
          <w:lang w:val="en-US"/>
        </w:rPr>
        <w:t>’</w:t>
      </w:r>
      <w:r>
        <w:rPr>
          <w:u w:val="none"/>
          <w:rtl w:val="0"/>
          <w:lang w:val="en-US"/>
        </w:rPr>
        <w:t>re looking for more reading, h</w:t>
      </w:r>
      <w:r>
        <w:rPr>
          <w:u w:val="none"/>
          <w:rtl w:val="0"/>
          <w:lang w:val="en-US"/>
        </w:rPr>
        <w:t>ere are a few suggestions:</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w:rPr>
          <w:i w:val="0"/>
          <w:iCs w:val="0"/>
        </w:rPr>
      </w:pPr>
      <w:r>
        <w:rPr>
          <w:i w:val="1"/>
          <w:iCs w:val="1"/>
          <w:rtl w:val="0"/>
          <w:lang w:val="en-US"/>
        </w:rPr>
        <w:t>Stoicism</w:t>
      </w:r>
      <w:r>
        <w:rPr>
          <w:i w:val="0"/>
          <w:iCs w:val="0"/>
          <w:rtl w:val="0"/>
          <w:lang w:val="en-US"/>
        </w:rPr>
        <w:t>, John Sellars. Acumen 2006</w:t>
      </w:r>
    </w:p>
    <w:p>
      <w:pPr>
        <w:pStyle w:val="Body A"/>
        <w:rPr>
          <w:i w:val="0"/>
          <w:iCs w:val="0"/>
        </w:rPr>
      </w:pPr>
    </w:p>
    <w:p>
      <w:pPr>
        <w:pStyle w:val="Body A"/>
        <w:rPr>
          <w:i w:val="0"/>
          <w:iCs w:val="0"/>
        </w:rPr>
      </w:pPr>
      <w:r>
        <w:rPr>
          <w:i w:val="1"/>
          <w:iCs w:val="1"/>
          <w:rtl w:val="0"/>
          <w:lang w:val="en-US"/>
        </w:rPr>
        <w:t>Philosophy as a Way of Life</w:t>
      </w:r>
      <w:r>
        <w:rPr>
          <w:i w:val="0"/>
          <w:iCs w:val="0"/>
          <w:rtl w:val="0"/>
          <w:lang w:val="en-US"/>
        </w:rPr>
        <w:t>, Pierre Hadot. Blackwell 1995</w:t>
      </w:r>
    </w:p>
    <w:p>
      <w:pPr>
        <w:pStyle w:val="Body A"/>
        <w:rPr>
          <w:i w:val="0"/>
          <w:iCs w:val="0"/>
        </w:rPr>
      </w:pPr>
    </w:p>
    <w:p>
      <w:pPr>
        <w:pStyle w:val="Body A"/>
        <w:rPr>
          <w:i w:val="0"/>
          <w:iCs w:val="0"/>
        </w:rPr>
      </w:pPr>
      <w:r>
        <w:rPr>
          <w:i w:val="1"/>
          <w:iCs w:val="1"/>
          <w:rtl w:val="0"/>
          <w:lang w:val="en-US"/>
        </w:rPr>
        <w:t>What is Ancient Philosophy?</w:t>
      </w:r>
      <w:r>
        <w:rPr>
          <w:i w:val="0"/>
          <w:iCs w:val="0"/>
          <w:rtl w:val="0"/>
          <w:lang w:val="en-US"/>
        </w:rPr>
        <w:t>, Pierre Hadot. Harvard UP 2002</w:t>
      </w:r>
    </w:p>
    <w:p>
      <w:pPr>
        <w:pStyle w:val="Body A"/>
        <w:rPr>
          <w:i w:val="0"/>
          <w:iCs w:val="0"/>
        </w:rPr>
      </w:pPr>
    </w:p>
    <w:p>
      <w:pPr>
        <w:pStyle w:val="Body A"/>
        <w:rPr>
          <w:i w:val="0"/>
          <w:iCs w:val="0"/>
        </w:rPr>
      </w:pPr>
      <w:r>
        <w:rPr>
          <w:i w:val="1"/>
          <w:iCs w:val="1"/>
          <w:rtl w:val="0"/>
          <w:lang w:val="en-US"/>
        </w:rPr>
        <w:t>Hellenistic Philosophy: Stoics, Epicureans, Sceptics,</w:t>
      </w:r>
      <w:r>
        <w:rPr>
          <w:i w:val="0"/>
          <w:iCs w:val="0"/>
          <w:rtl w:val="0"/>
          <w:lang w:val="en-US"/>
        </w:rPr>
        <w:t xml:space="preserve"> Edited by A. A. Long. Duckworth 1996</w:t>
      </w:r>
    </w:p>
    <w:p>
      <w:pPr>
        <w:pStyle w:val="Body A"/>
        <w:rPr>
          <w:i w:val="0"/>
          <w:iCs w:val="0"/>
        </w:rPr>
      </w:pPr>
    </w:p>
    <w:p>
      <w:pPr>
        <w:pStyle w:val="Body A"/>
        <w:rPr>
          <w:i w:val="0"/>
          <w:iCs w:val="0"/>
        </w:rPr>
      </w:pPr>
      <w:r>
        <w:rPr>
          <w:i w:val="1"/>
          <w:iCs w:val="1"/>
          <w:rtl w:val="0"/>
          <w:lang w:val="en-US"/>
        </w:rPr>
        <w:t>Hellenistic Philosophy: Introductory Readings</w:t>
      </w:r>
      <w:r>
        <w:rPr>
          <w:i w:val="0"/>
          <w:iCs w:val="0"/>
          <w:rtl w:val="0"/>
          <w:lang w:val="en-US"/>
        </w:rPr>
        <w:t xml:space="preserve"> (2nd Edition), Inwood and Gerson. Hackett 1998.</w:t>
      </w:r>
    </w:p>
    <w:p>
      <w:pPr>
        <w:pStyle w:val="Body A"/>
        <w:rPr>
          <w:i w:val="0"/>
          <w:iCs w:val="0"/>
        </w:rPr>
      </w:pPr>
    </w:p>
    <w:p>
      <w:pPr>
        <w:pStyle w:val="Body A"/>
        <w:rPr>
          <w:i w:val="1"/>
          <w:iCs w:val="1"/>
        </w:rPr>
      </w:pPr>
      <w:r>
        <w:rPr>
          <w:i w:val="1"/>
          <w:iCs w:val="1"/>
          <w:rtl w:val="0"/>
          <w:lang w:val="en-US"/>
        </w:rPr>
        <w:t>Philosophy in the Hellenistic and Roman Worlds</w:t>
      </w:r>
      <w:r>
        <w:rPr>
          <w:i w:val="0"/>
          <w:iCs w:val="0"/>
          <w:rtl w:val="0"/>
          <w:lang w:val="en-US"/>
        </w:rPr>
        <w:t>, Peter Adamson. OUP 2018</w:t>
      </w:r>
    </w:p>
    <w:p>
      <w:pPr>
        <w:pStyle w:val="Body A"/>
      </w:pPr>
    </w:p>
    <w:p>
      <w:pPr>
        <w:pStyle w:val="Body A"/>
      </w:pPr>
    </w:p>
    <w:p>
      <w:pPr>
        <w:pStyle w:val="Body A"/>
      </w:pPr>
      <w:r/>
    </w:p>
    <w:sectPr>
      <w:headerReference w:type="default" r:id="rId5"/>
      <w:headerReference w:type="even" r:id="rId6"/>
      <w:footerReference w:type="default" r:id="rId7"/>
      <w:footerReference w:type="even" r:id="rId8"/>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0"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bidi w:val="0"/>
      <w:spacing w:before="0" w:after="0" w:line="240" w:lineRule="auto"/>
      <w:ind w:left="0" w:right="0" w:firstLine="0"/>
      <w:jc w:val="both"/>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A">
    <w:name w:val="Body A A"/>
    <w:next w:val="Body A A"/>
    <w:pPr>
      <w:keepNext w:val="0"/>
      <w:keepLines w:val="0"/>
      <w:pageBreakBefore w:val="0"/>
      <w:widowControl w:val="1"/>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